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85" w:rsidRDefault="00DA3834" w:rsidP="00DA3834">
      <w:pPr>
        <w:jc w:val="center"/>
        <w:rPr>
          <w:sz w:val="72"/>
          <w:szCs w:val="72"/>
        </w:rPr>
      </w:pPr>
      <w:r>
        <w:rPr>
          <w:sz w:val="72"/>
          <w:szCs w:val="72"/>
        </w:rPr>
        <w:t>RADON</w:t>
      </w:r>
    </w:p>
    <w:p w:rsidR="00C22677" w:rsidRPr="00C22677" w:rsidRDefault="00C22677" w:rsidP="00DA3834">
      <w:pPr>
        <w:jc w:val="center"/>
        <w:rPr>
          <w:sz w:val="24"/>
          <w:szCs w:val="24"/>
        </w:rPr>
      </w:pPr>
    </w:p>
    <w:p w:rsidR="00DA3834" w:rsidRPr="00C22677" w:rsidRDefault="00DA3834" w:rsidP="00DA3834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>Il radon (</w:t>
      </w:r>
      <w:proofErr w:type="spellStart"/>
      <w:r w:rsidRPr="00C22677">
        <w:rPr>
          <w:sz w:val="32"/>
          <w:szCs w:val="32"/>
        </w:rPr>
        <w:t>Rn</w:t>
      </w:r>
      <w:proofErr w:type="spellEnd"/>
      <w:r w:rsidRPr="00C22677">
        <w:rPr>
          <w:sz w:val="32"/>
          <w:szCs w:val="32"/>
        </w:rPr>
        <w:t xml:space="preserve">) è un gas naturale radioattivo, appartenente alla famiglia dei gas nobili; è inodore, insapore e incolore, quindi non può essere avvertito dai sensi, estremamente volatile e solubile nell'acqua. Rispetto agli altri gas nobili, esso risulta il più </w:t>
      </w:r>
      <w:r w:rsidR="00E9498E">
        <w:rPr>
          <w:sz w:val="32"/>
          <w:szCs w:val="32"/>
        </w:rPr>
        <w:t>pesante (8 volte più denso dell’</w:t>
      </w:r>
      <w:r w:rsidRPr="00C22677">
        <w:rPr>
          <w:sz w:val="32"/>
          <w:szCs w:val="32"/>
        </w:rPr>
        <w:t>aria), con il più alto punto di fusione (-71 °C), con la maggior temperatura critica (104,5 °C) e con la più elevata pressione critica (62,4 atm).</w:t>
      </w:r>
    </w:p>
    <w:p w:rsidR="00DA3834" w:rsidRPr="00C22677" w:rsidRDefault="00DA3834" w:rsidP="00DA3834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 xml:space="preserve">Il </w:t>
      </w:r>
      <w:r w:rsidR="0006055E">
        <w:rPr>
          <w:sz w:val="32"/>
          <w:szCs w:val="32"/>
        </w:rPr>
        <w:t xml:space="preserve">Radon </w:t>
      </w:r>
      <w:r w:rsidRPr="00C22677">
        <w:rPr>
          <w:sz w:val="32"/>
          <w:szCs w:val="32"/>
        </w:rPr>
        <w:t xml:space="preserve">proviene dal decadimento del Radio che proviene dalla serie radioattiva naturale del Uranio. E‟ presente in natura principalmente in tre isotopi: radon (222Rn), toron (220Rn) e </w:t>
      </w:r>
      <w:proofErr w:type="spellStart"/>
      <w:r w:rsidRPr="00C22677">
        <w:rPr>
          <w:sz w:val="32"/>
          <w:szCs w:val="32"/>
        </w:rPr>
        <w:t>actinon</w:t>
      </w:r>
      <w:proofErr w:type="spellEnd"/>
      <w:r w:rsidRPr="00C22677">
        <w:rPr>
          <w:sz w:val="32"/>
          <w:szCs w:val="32"/>
        </w:rPr>
        <w:t xml:space="preserve"> (219Rn), ciascuno dei quali prodotto dal decadimento di tre nuclidi capostipiti rispettivamente Uranio (238U), </w:t>
      </w:r>
      <w:r w:rsidR="0006055E">
        <w:rPr>
          <w:sz w:val="32"/>
          <w:szCs w:val="32"/>
        </w:rPr>
        <w:t>Toron (</w:t>
      </w:r>
      <w:r w:rsidRPr="00C22677">
        <w:rPr>
          <w:sz w:val="32"/>
          <w:szCs w:val="32"/>
        </w:rPr>
        <w:t>232</w:t>
      </w:r>
      <w:proofErr w:type="gramStart"/>
      <w:r w:rsidRPr="00C22677">
        <w:rPr>
          <w:sz w:val="32"/>
          <w:szCs w:val="32"/>
        </w:rPr>
        <w:t>Th)e</w:t>
      </w:r>
      <w:proofErr w:type="gramEnd"/>
      <w:r w:rsidRPr="00C22677">
        <w:rPr>
          <w:sz w:val="32"/>
          <w:szCs w:val="32"/>
        </w:rPr>
        <w:t xml:space="preserve"> Uranio (235U). L‟238U è un elemento molto comune della crosta terrestre ed i primi cinque figli della catena dell‟238U tendono a fissarsi nella matrice solida del materiale non creando quindi problemi di radiopro</w:t>
      </w:r>
      <w:r w:rsidR="0006055E">
        <w:rPr>
          <w:sz w:val="32"/>
          <w:szCs w:val="32"/>
        </w:rPr>
        <w:t>tezione. Diverso è il caso dell’isotopo 222Rn. Il 222Rn è l’</w:t>
      </w:r>
      <w:r w:rsidRPr="00C22677">
        <w:rPr>
          <w:sz w:val="32"/>
          <w:szCs w:val="32"/>
        </w:rPr>
        <w:t>unico ele</w:t>
      </w:r>
      <w:r w:rsidR="0006055E">
        <w:rPr>
          <w:sz w:val="32"/>
          <w:szCs w:val="32"/>
        </w:rPr>
        <w:t>mento gassoso della catena dell’</w:t>
      </w:r>
      <w:r w:rsidRPr="00C22677">
        <w:rPr>
          <w:sz w:val="32"/>
          <w:szCs w:val="32"/>
        </w:rPr>
        <w:t>238U ed è chimicamente inerte (gas nobile). In quanto tale non crea legami chimici e tende quindi a sfuggire dal materiale in cui si è generato per entrare a far parte dei sistemi fluidi che circolano nel materiale. La migrazione del gas avviene secondo gradienti di concentrazione, pressione e temperatura.</w:t>
      </w:r>
    </w:p>
    <w:p w:rsidR="00DA3834" w:rsidRPr="00C22677" w:rsidRDefault="00DA3834" w:rsidP="00DA3834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>Il radon diffonde molto bene attraverso terreni composti da ghiaia grossolana, mentre la diffusione è molto bassa attraverso argilla satura d’acqua.</w:t>
      </w:r>
    </w:p>
    <w:p w:rsidR="00DA3834" w:rsidRPr="00C22677" w:rsidRDefault="00DA3834" w:rsidP="00DA3834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>Come gas disciolto viene veicolato anche a grandi distanze dal luogo di formazione; è possibile trovarlo infatti nelle falde acquifere sotterranee in quanto le acque che percolano attraverso il suolo hanno l’effetto di concentrare e trasportare il radon.  Infine è nota la sua presenza nei materiali da costruzioni prodotti a partire da rocce della crosta terrestre, come tufi, pozzolane e marmi.</w:t>
      </w:r>
    </w:p>
    <w:p w:rsidR="00DA3834" w:rsidRPr="00C22677" w:rsidRDefault="00DA3834" w:rsidP="00DA3834">
      <w:pPr>
        <w:jc w:val="both"/>
        <w:rPr>
          <w:b/>
          <w:sz w:val="32"/>
          <w:szCs w:val="32"/>
          <w:u w:val="single"/>
        </w:rPr>
      </w:pPr>
      <w:r w:rsidRPr="00C22677">
        <w:rPr>
          <w:b/>
          <w:sz w:val="32"/>
          <w:szCs w:val="32"/>
          <w:u w:val="single"/>
        </w:rPr>
        <w:lastRenderedPageBreak/>
        <w:t xml:space="preserve">Inquinamento indoor da radon </w:t>
      </w:r>
    </w:p>
    <w:p w:rsidR="00DA3834" w:rsidRDefault="00DA3834" w:rsidP="00DA3834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 xml:space="preserve">Come precedentemente descritto, il radon diffonde nell'aria dal suolo e, a volte, dall'acqua (nella quale può disciogliersi). In spazi aperti, diluito dalle correnti d'aria, diffonde rapidamente e raggiunge solo basse concentrazioni. Al contrario, in un ambiente chiuso, laddove il naturale fenomeno di diffusione viene ostacolato, il radon tende ad accumularsi fino a raggiungere, in particolari casi, alte concentrazioni. Negli ambienti confinati, infatti la concentrazione è solitamente più alta di quella esterna e corrisponde in media a 78 </w:t>
      </w:r>
      <w:proofErr w:type="spellStart"/>
      <w:r w:rsidRPr="00C22677">
        <w:rPr>
          <w:sz w:val="32"/>
          <w:szCs w:val="32"/>
        </w:rPr>
        <w:t>Bq</w:t>
      </w:r>
      <w:proofErr w:type="spellEnd"/>
      <w:r w:rsidRPr="00C22677">
        <w:rPr>
          <w:sz w:val="32"/>
          <w:szCs w:val="32"/>
        </w:rPr>
        <w:t xml:space="preserve">/m3 (in Italia), anche se in certi casi alcuni ambienti possono presentare una concentrazione di radon superiore ai 1000 </w:t>
      </w:r>
      <w:proofErr w:type="spellStart"/>
      <w:r w:rsidRPr="00C22677">
        <w:rPr>
          <w:sz w:val="32"/>
          <w:szCs w:val="32"/>
        </w:rPr>
        <w:t>Bq</w:t>
      </w:r>
      <w:proofErr w:type="spellEnd"/>
      <w:r w:rsidRPr="00C22677">
        <w:rPr>
          <w:sz w:val="32"/>
          <w:szCs w:val="32"/>
        </w:rPr>
        <w:t>/m3.  Solitamente i luoghi più a rischio sono quelli posizionati a ridosso del terreno; i piani superiori degli edifici presentano delle concentrazioni di radon relati</w:t>
      </w:r>
      <w:r w:rsidR="00BC04D9">
        <w:rPr>
          <w:sz w:val="32"/>
          <w:szCs w:val="32"/>
        </w:rPr>
        <w:t>va</w:t>
      </w:r>
      <w:r w:rsidRPr="00C22677">
        <w:rPr>
          <w:sz w:val="32"/>
          <w:szCs w:val="32"/>
        </w:rPr>
        <w:t xml:space="preserve">mente più basse, via via minori man mano che aumenta la distanza dal suolo. Il meccanismo principale attraverso cui il radon penetra negli edifici è la diffusione dal suolo attraverso fessure, crepe, cantine con pavimentazione naturale, tubazioni, </w:t>
      </w:r>
      <w:proofErr w:type="spellStart"/>
      <w:r w:rsidRPr="00C22677">
        <w:rPr>
          <w:sz w:val="32"/>
          <w:szCs w:val="32"/>
        </w:rPr>
        <w:t>etc</w:t>
      </w:r>
      <w:proofErr w:type="spellEnd"/>
    </w:p>
    <w:p w:rsidR="00C22677" w:rsidRDefault="00C22677" w:rsidP="00DA3834">
      <w:pPr>
        <w:jc w:val="both"/>
        <w:rPr>
          <w:sz w:val="32"/>
          <w:szCs w:val="32"/>
        </w:rPr>
      </w:pPr>
    </w:p>
    <w:p w:rsidR="00C22677" w:rsidRPr="00C22677" w:rsidRDefault="00C22677" w:rsidP="00C22677">
      <w:pPr>
        <w:jc w:val="both"/>
        <w:rPr>
          <w:b/>
          <w:sz w:val="32"/>
          <w:szCs w:val="32"/>
          <w:u w:val="single"/>
        </w:rPr>
      </w:pPr>
      <w:r w:rsidRPr="00C22677">
        <w:rPr>
          <w:b/>
          <w:sz w:val="32"/>
          <w:szCs w:val="32"/>
          <w:u w:val="single"/>
        </w:rPr>
        <w:t>Effetti del radon sulla salute umana</w:t>
      </w:r>
    </w:p>
    <w:p w:rsidR="00BF0241" w:rsidRPr="00BF0241" w:rsidRDefault="00C22677" w:rsidP="00BF0241">
      <w:pPr>
        <w:jc w:val="both"/>
        <w:rPr>
          <w:sz w:val="32"/>
          <w:szCs w:val="32"/>
        </w:rPr>
      </w:pPr>
      <w:r w:rsidRPr="00C22677">
        <w:rPr>
          <w:sz w:val="32"/>
          <w:szCs w:val="32"/>
        </w:rPr>
        <w:t xml:space="preserve">Gli effetti sulla salute non sono principalmente conseguenza diretta dell'esposizione al radon, ma piuttosto dei discendenti a vita breve che possono essere inalati. Poiché il radon ha un'emivita relativamente lunga rispetto ai tempi legati ai meccanismi di respirazione, la maggior parte del radon inalato è esalato, prima che possa decadere o depositarsi nei polmoni.  Al contrario, i </w:t>
      </w:r>
      <w:r>
        <w:rPr>
          <w:sz w:val="32"/>
          <w:szCs w:val="32"/>
        </w:rPr>
        <w:t xml:space="preserve">prodotti </w:t>
      </w:r>
      <w:r w:rsidRPr="00C22677">
        <w:rPr>
          <w:sz w:val="32"/>
          <w:szCs w:val="32"/>
        </w:rPr>
        <w:t>del radon possono essere inalati con gli aerosol ambientali e poi depositarsi sulle superfici epiteliali nei polmoni. Dal momento che i discendenti a vita breve del radon hanno un tempo di dimezzamento inferiore ai 27 minuti, l'intera sequenza del decadimento può essere completata prima che possano essere rimossi con i normali processi di eliminazione da parte dei polmoni.</w:t>
      </w:r>
      <w:r w:rsidR="00BF0241">
        <w:rPr>
          <w:sz w:val="32"/>
          <w:szCs w:val="32"/>
        </w:rPr>
        <w:t xml:space="preserve"> </w:t>
      </w:r>
      <w:r w:rsidR="00BF0241" w:rsidRPr="00BF0241">
        <w:rPr>
          <w:sz w:val="32"/>
          <w:szCs w:val="32"/>
        </w:rPr>
        <w:t>Questa esposizione al radon comporta un incremento del rischio di tumore polmonare. Fondamentale importanza assume la combinazione tra fumo di tabacco e radon in quanto è stato dimostrato un effetto sinergico tra i due fattori.</w:t>
      </w:r>
    </w:p>
    <w:p w:rsidR="00BF0241" w:rsidRDefault="00BF0241" w:rsidP="00BF0241">
      <w:pPr>
        <w:rPr>
          <w:b/>
          <w:sz w:val="32"/>
          <w:szCs w:val="32"/>
          <w:u w:val="single"/>
        </w:rPr>
      </w:pPr>
      <w:r w:rsidRPr="00BF0241">
        <w:rPr>
          <w:b/>
          <w:sz w:val="32"/>
          <w:szCs w:val="32"/>
          <w:u w:val="single"/>
        </w:rPr>
        <w:lastRenderedPageBreak/>
        <w:t>M</w:t>
      </w:r>
      <w:r>
        <w:rPr>
          <w:b/>
          <w:sz w:val="32"/>
          <w:szCs w:val="32"/>
          <w:u w:val="single"/>
        </w:rPr>
        <w:t>etodi di misura del Radon</w:t>
      </w:r>
    </w:p>
    <w:p w:rsid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t>Essenzialmente la misura del radon nelle diverse matrici ambientali (aria, acqua e suolo) si basa sulla rivelazione delle particelle α emesse dal suo decadimento. La scelta del metodo dipende principalmente dal tipo di informazione che si vuole ottenere e dal grado di precisione e di accuratezza con cui si ritiene accettabile il dato</w:t>
      </w:r>
      <w:r>
        <w:rPr>
          <w:sz w:val="32"/>
          <w:szCs w:val="32"/>
        </w:rPr>
        <w:t>.</w:t>
      </w:r>
    </w:p>
    <w:p w:rsid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t xml:space="preserve">In relazione alle modalità di campionamento in aria i metodi possono essere classificati in:  </w:t>
      </w:r>
    </w:p>
    <w:p w:rsidR="00BF0241" w:rsidRPr="00BF0241" w:rsidRDefault="0006055E" w:rsidP="00BF024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istantanei il campione d’</w:t>
      </w:r>
      <w:r w:rsidR="00BF0241" w:rsidRPr="00BF0241">
        <w:rPr>
          <w:sz w:val="32"/>
          <w:szCs w:val="32"/>
        </w:rPr>
        <w:t xml:space="preserve">aria viene prelevato in un determinato punto di misura durante intervalli di tempo molto brevi (1 ora circa) e poi misurato durante il campionamento o in un secondo momento. Questo tipo di campionamento permette di effettuare una misura definita nel tempo; </w:t>
      </w:r>
    </w:p>
    <w:p w:rsidR="00BF0241" w:rsidRP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t xml:space="preserve"> </w:t>
      </w:r>
    </w:p>
    <w:p w:rsidR="00BF0241" w:rsidRPr="00BF0241" w:rsidRDefault="00BF0241" w:rsidP="00BF024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F0241">
        <w:rPr>
          <w:sz w:val="32"/>
          <w:szCs w:val="32"/>
        </w:rPr>
        <w:t xml:space="preserve">continui consentono di determinare le variazioni temporali delle concentrazioni del radon. Il campionamento viene effettuato in continuo e il risultato è dato mediante una serie di misure istantanee. Tale campionamento è utile per studiare le variazioni periodiche (giornaliere e/o stagionali) di concentrazione del gas a seconda della durata della misura; </w:t>
      </w:r>
    </w:p>
    <w:p w:rsidR="00BF0241" w:rsidRP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t xml:space="preserve"> </w:t>
      </w:r>
    </w:p>
    <w:p w:rsidR="00BF0241" w:rsidRDefault="00BF0241" w:rsidP="00BF024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BF0241">
        <w:rPr>
          <w:sz w:val="32"/>
          <w:szCs w:val="32"/>
        </w:rPr>
        <w:t>integrati il campione di aria viene prelevato in intervalli di tempo che generalmente variano da qualche giorno a diversi mesi: con essi è possibile determinare il valore d</w:t>
      </w:r>
      <w:r>
        <w:rPr>
          <w:sz w:val="32"/>
          <w:szCs w:val="32"/>
        </w:rPr>
        <w:t xml:space="preserve">ella concentrazione </w:t>
      </w:r>
      <w:proofErr w:type="gramStart"/>
      <w:r>
        <w:rPr>
          <w:sz w:val="32"/>
          <w:szCs w:val="32"/>
        </w:rPr>
        <w:t>media  nell’</w:t>
      </w:r>
      <w:r w:rsidRPr="00BF0241">
        <w:rPr>
          <w:sz w:val="32"/>
          <w:szCs w:val="32"/>
        </w:rPr>
        <w:t>intervallo</w:t>
      </w:r>
      <w:proofErr w:type="gramEnd"/>
      <w:r w:rsidRPr="00BF0241">
        <w:rPr>
          <w:sz w:val="32"/>
          <w:szCs w:val="32"/>
        </w:rPr>
        <w:t xml:space="preserve"> di tempo considerato.</w:t>
      </w:r>
    </w:p>
    <w:p w:rsidR="00BF0241" w:rsidRPr="00BF0241" w:rsidRDefault="00BF0241" w:rsidP="00BF0241">
      <w:pPr>
        <w:pStyle w:val="Paragrafoelenco"/>
        <w:rPr>
          <w:sz w:val="32"/>
          <w:szCs w:val="32"/>
        </w:rPr>
      </w:pPr>
    </w:p>
    <w:p w:rsidR="00BF0241" w:rsidRP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t xml:space="preserve">Le tecniche di campionamento possono essere inoltre classificate, in base alla strumentazione utilizzata, in: </w:t>
      </w:r>
    </w:p>
    <w:p w:rsidR="00BF0241" w:rsidRDefault="00BF0241" w:rsidP="00BF0241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BF0241">
        <w:rPr>
          <w:sz w:val="32"/>
          <w:szCs w:val="32"/>
        </w:rPr>
        <w:t>Strumentazione e/o metodi attivi;</w:t>
      </w:r>
    </w:p>
    <w:p w:rsidR="00BF0241" w:rsidRDefault="00BF0241" w:rsidP="00BF0241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BF0241">
        <w:rPr>
          <w:sz w:val="32"/>
          <w:szCs w:val="32"/>
        </w:rPr>
        <w:t>Strumentazione e/o metodi passivi</w:t>
      </w:r>
      <w:r>
        <w:rPr>
          <w:sz w:val="32"/>
          <w:szCs w:val="32"/>
        </w:rPr>
        <w:t>.</w:t>
      </w:r>
    </w:p>
    <w:p w:rsidR="00BF0241" w:rsidRDefault="00BF0241" w:rsidP="00BF0241">
      <w:pPr>
        <w:rPr>
          <w:sz w:val="32"/>
          <w:szCs w:val="32"/>
        </w:rPr>
      </w:pPr>
      <w:r w:rsidRPr="00BF0241">
        <w:rPr>
          <w:sz w:val="32"/>
          <w:szCs w:val="32"/>
        </w:rPr>
        <w:lastRenderedPageBreak/>
        <w:t>Le tecniche di tipo passivo maggiormente impiegate nella misura della concentrazione di radon indoor sono</w:t>
      </w:r>
      <w:r w:rsidR="0006055E">
        <w:rPr>
          <w:sz w:val="32"/>
          <w:szCs w:val="32"/>
        </w:rPr>
        <w:t>:</w:t>
      </w:r>
    </w:p>
    <w:p w:rsidR="0006055E" w:rsidRDefault="0006055E" w:rsidP="0006055E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6055E">
        <w:rPr>
          <w:sz w:val="32"/>
          <w:szCs w:val="32"/>
        </w:rPr>
        <w:t xml:space="preserve">rivelatori a carica elettrostatica; </w:t>
      </w:r>
    </w:p>
    <w:p w:rsidR="0006055E" w:rsidRDefault="0006055E" w:rsidP="0006055E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6055E">
        <w:rPr>
          <w:sz w:val="32"/>
          <w:szCs w:val="32"/>
        </w:rPr>
        <w:t xml:space="preserve">rivelatori a canestri di carbone attivo; </w:t>
      </w:r>
    </w:p>
    <w:p w:rsidR="0006055E" w:rsidRPr="0006055E" w:rsidRDefault="0006055E" w:rsidP="0006055E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6055E">
        <w:rPr>
          <w:sz w:val="32"/>
          <w:szCs w:val="32"/>
        </w:rPr>
        <w:t>rivelatori a tracce nucleari.</w:t>
      </w:r>
    </w:p>
    <w:p w:rsidR="00BF0241" w:rsidRDefault="0006055E" w:rsidP="0006055E">
      <w:pPr>
        <w:rPr>
          <w:sz w:val="32"/>
          <w:szCs w:val="32"/>
        </w:rPr>
      </w:pPr>
      <w:r w:rsidRPr="0006055E">
        <w:rPr>
          <w:sz w:val="32"/>
          <w:szCs w:val="32"/>
        </w:rPr>
        <w:t>Il dispositivo passivo a tracce CR-39 è costituito da una piccola lastra di materiale plastico alloggiato in un contenitore in polipropilene senza filtri di tipo "chiuso", modello RADOSURE detto “camera di diffusione”.</w:t>
      </w:r>
    </w:p>
    <w:p w:rsidR="0006055E" w:rsidRDefault="0006055E" w:rsidP="0006055E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06055E">
        <w:rPr>
          <w:sz w:val="32"/>
          <w:szCs w:val="32"/>
        </w:rPr>
        <w:t>ono realizzati in sottili lastre o film in materiale polimerico, sensibili alle radiazioni α</w:t>
      </w:r>
      <w:r>
        <w:rPr>
          <w:sz w:val="32"/>
          <w:szCs w:val="32"/>
        </w:rPr>
        <w:t xml:space="preserve"> prodotte dal Radon</w:t>
      </w:r>
      <w:r w:rsidRPr="0006055E">
        <w:rPr>
          <w:sz w:val="32"/>
          <w:szCs w:val="32"/>
        </w:rPr>
        <w:t>, ma insensibili ad altri tipi di radiazione</w:t>
      </w:r>
      <w:r>
        <w:rPr>
          <w:sz w:val="32"/>
          <w:szCs w:val="32"/>
        </w:rPr>
        <w:t>.</w:t>
      </w:r>
    </w:p>
    <w:p w:rsidR="0006055E" w:rsidRDefault="0006055E" w:rsidP="0006055E">
      <w:pPr>
        <w:rPr>
          <w:sz w:val="32"/>
          <w:szCs w:val="32"/>
        </w:rPr>
      </w:pPr>
      <w:r w:rsidRPr="0006055E">
        <w:rPr>
          <w:sz w:val="32"/>
          <w:szCs w:val="32"/>
        </w:rPr>
        <w:t>Le particelle α che penetrano nel materiale sensibile producono una rottura permanente dei legami molecolari, detta "traccia latente".</w:t>
      </w:r>
    </w:p>
    <w:p w:rsidR="0006055E" w:rsidRDefault="0006055E" w:rsidP="0006055E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Pr="0006055E">
        <w:rPr>
          <w:sz w:val="32"/>
          <w:szCs w:val="32"/>
        </w:rPr>
        <w:t>a densità delle tracce prodotte dalle particelle α sulla superficie dei rivelatori è proporzionale alla concentrazione di radon e al tempo di esposizione.</w:t>
      </w:r>
    </w:p>
    <w:p w:rsidR="00BF3198" w:rsidRDefault="00BF3198" w:rsidP="0006055E">
      <w:pPr>
        <w:rPr>
          <w:sz w:val="32"/>
          <w:szCs w:val="32"/>
        </w:rPr>
      </w:pPr>
    </w:p>
    <w:p w:rsidR="00BF3198" w:rsidRDefault="00BF3198" w:rsidP="0006055E">
      <w:pPr>
        <w:rPr>
          <w:sz w:val="32"/>
          <w:szCs w:val="32"/>
        </w:rPr>
      </w:pPr>
    </w:p>
    <w:p w:rsidR="00BF3198" w:rsidRPr="00BF3198" w:rsidRDefault="00BF3198" w:rsidP="00BF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it-IT"/>
        </w:rPr>
      </w:pPr>
      <w:proofErr w:type="spellStart"/>
      <w:r w:rsidRPr="00BF3198">
        <w:rPr>
          <w:rFonts w:ascii="Arial" w:eastAsia="Times New Roman" w:hAnsi="Arial" w:cs="Arial"/>
          <w:color w:val="222222"/>
          <w:sz w:val="45"/>
          <w:szCs w:val="45"/>
          <w:lang w:eastAsia="it-IT"/>
        </w:rPr>
        <w:t>Sievert</w:t>
      </w:r>
      <w:proofErr w:type="spellEnd"/>
    </w:p>
    <w:p w:rsidR="00BF3198" w:rsidRPr="00BF3198" w:rsidRDefault="00BF3198" w:rsidP="00BF319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it-IT"/>
        </w:rPr>
      </w:pPr>
      <w:r w:rsidRPr="00BF3198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Unità di misura</w:t>
      </w:r>
    </w:p>
    <w:p w:rsidR="00BF3198" w:rsidRPr="00BF3198" w:rsidRDefault="00BF3198" w:rsidP="00BF3198">
      <w:pPr>
        <w:shd w:val="clear" w:color="auto" w:fill="FFFFFF"/>
        <w:spacing w:line="240" w:lineRule="auto"/>
        <w:rPr>
          <w:sz w:val="32"/>
          <w:szCs w:val="32"/>
        </w:rPr>
      </w:pPr>
      <w:r w:rsidRPr="00BF3198">
        <w:rPr>
          <w:sz w:val="32"/>
          <w:szCs w:val="32"/>
        </w:rPr>
        <w:t xml:space="preserve">Il </w:t>
      </w:r>
      <w:proofErr w:type="spellStart"/>
      <w:r w:rsidRPr="00BF3198">
        <w:rPr>
          <w:sz w:val="32"/>
          <w:szCs w:val="32"/>
        </w:rPr>
        <w:t>sievert</w:t>
      </w:r>
      <w:proofErr w:type="spellEnd"/>
      <w:r w:rsidRPr="00BF3198">
        <w:rPr>
          <w:sz w:val="32"/>
          <w:szCs w:val="32"/>
        </w:rPr>
        <w:t xml:space="preserve">, il cui nome deriva da quello dello scienziato svedese </w:t>
      </w:r>
      <w:proofErr w:type="spellStart"/>
      <w:r w:rsidRPr="00BF3198">
        <w:rPr>
          <w:sz w:val="32"/>
          <w:szCs w:val="32"/>
        </w:rPr>
        <w:t>Rolf</w:t>
      </w:r>
      <w:proofErr w:type="spellEnd"/>
      <w:r w:rsidRPr="00BF3198">
        <w:rPr>
          <w:sz w:val="32"/>
          <w:szCs w:val="32"/>
        </w:rPr>
        <w:t xml:space="preserve"> </w:t>
      </w:r>
      <w:proofErr w:type="spellStart"/>
      <w:r w:rsidRPr="00BF3198">
        <w:rPr>
          <w:sz w:val="32"/>
          <w:szCs w:val="32"/>
        </w:rPr>
        <w:t>Sievert</w:t>
      </w:r>
      <w:proofErr w:type="spellEnd"/>
      <w:r w:rsidRPr="00BF3198">
        <w:rPr>
          <w:sz w:val="32"/>
          <w:szCs w:val="32"/>
        </w:rPr>
        <w:t>, è l'unità di misura della dose equivalente e dose efficace di radiazione che non appartiene Sistema Internazionale SI, ma è una sua derivata; è una misura degli effetti e del danno provocato dalla radiazione su un organismo. </w:t>
      </w:r>
    </w:p>
    <w:p w:rsidR="00BF3198" w:rsidRPr="0006055E" w:rsidRDefault="00BF3198" w:rsidP="0006055E">
      <w:pPr>
        <w:rPr>
          <w:sz w:val="32"/>
          <w:szCs w:val="32"/>
        </w:rPr>
      </w:pPr>
      <w:bookmarkStart w:id="0" w:name="_GoBack"/>
      <w:bookmarkEnd w:id="0"/>
    </w:p>
    <w:sectPr w:rsidR="00BF3198" w:rsidRPr="0006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872"/>
    <w:multiLevelType w:val="hybridMultilevel"/>
    <w:tmpl w:val="8214A5A8"/>
    <w:lvl w:ilvl="0" w:tplc="93D6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721"/>
    <w:multiLevelType w:val="hybridMultilevel"/>
    <w:tmpl w:val="FFB2E7E8"/>
    <w:lvl w:ilvl="0" w:tplc="CF3EF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34"/>
    <w:rsid w:val="0006055E"/>
    <w:rsid w:val="004A6A85"/>
    <w:rsid w:val="00BC04D9"/>
    <w:rsid w:val="00BF0241"/>
    <w:rsid w:val="00BF3198"/>
    <w:rsid w:val="00C22677"/>
    <w:rsid w:val="00DA3834"/>
    <w:rsid w:val="00E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F0D7"/>
  <w15:chartTrackingRefBased/>
  <w15:docId w15:val="{98656F32-9BAC-4371-9032-BA16129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2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889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0160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22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2019-10-16T10:12:00Z</cp:lastPrinted>
  <dcterms:created xsi:type="dcterms:W3CDTF">2019-10-16T07:26:00Z</dcterms:created>
  <dcterms:modified xsi:type="dcterms:W3CDTF">2019-10-16T12:12:00Z</dcterms:modified>
</cp:coreProperties>
</file>